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FB9E" w14:textId="77777777" w:rsidR="00C82A5E" w:rsidRPr="00C82A5E" w:rsidRDefault="00C82A5E" w:rsidP="00C82A5E">
      <w:pPr>
        <w:rPr>
          <w:rFonts w:ascii="Arial" w:hAnsi="Arial" w:cs="Arial"/>
          <w:sz w:val="24"/>
          <w:szCs w:val="24"/>
          <w:lang w:val="el-GR"/>
        </w:rPr>
      </w:pPr>
    </w:p>
    <w:p w14:paraId="018E49F0" w14:textId="77777777" w:rsidR="00C82A5E" w:rsidRPr="00C82A5E" w:rsidRDefault="00C82A5E" w:rsidP="00C82A5E">
      <w:pPr>
        <w:rPr>
          <w:rFonts w:ascii="Arial" w:hAnsi="Arial" w:cs="Arial"/>
          <w:sz w:val="24"/>
          <w:szCs w:val="24"/>
          <w:lang w:val="el-GR"/>
        </w:rPr>
      </w:pPr>
    </w:p>
    <w:p w14:paraId="1E62867D" w14:textId="77777777" w:rsidR="00C82A5E" w:rsidRPr="00C82A5E" w:rsidRDefault="00C82A5E" w:rsidP="00C82A5E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C82A5E">
        <w:rPr>
          <w:rFonts w:ascii="Arial" w:hAnsi="Arial" w:cs="Arial"/>
          <w:b/>
          <w:bCs/>
          <w:sz w:val="24"/>
          <w:szCs w:val="24"/>
          <w:lang w:val="el-GR"/>
        </w:rPr>
        <w:t>63</w:t>
      </w:r>
      <w:r w:rsidRPr="00C82A5E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</w:t>
      </w:r>
      <w:r w:rsidRPr="00C82A5E">
        <w:rPr>
          <w:rFonts w:ascii="Arial" w:hAnsi="Arial" w:cs="Arial"/>
          <w:b/>
          <w:bCs/>
          <w:sz w:val="24"/>
          <w:szCs w:val="24"/>
          <w:lang w:val="el-GR"/>
        </w:rPr>
        <w:t xml:space="preserve"> Ενδιάμεση Σύνοδος της Επιτροπής Ναρκωτικών των Ηνωμένων Εθνών</w:t>
      </w:r>
    </w:p>
    <w:p w14:paraId="32D51B06" w14:textId="77777777" w:rsidR="00C82A5E" w:rsidRPr="00C82A5E" w:rsidRDefault="00C82A5E" w:rsidP="00C82A5E">
      <w:pPr>
        <w:rPr>
          <w:rFonts w:ascii="Arial" w:hAnsi="Arial" w:cs="Arial"/>
          <w:sz w:val="24"/>
          <w:szCs w:val="24"/>
          <w:lang w:val="el-GR"/>
        </w:rPr>
      </w:pPr>
    </w:p>
    <w:p w14:paraId="2E65B38A" w14:textId="654DD7D9" w:rsidR="00C82A5E" w:rsidRPr="00C82A5E" w:rsidRDefault="00C82A5E" w:rsidP="00C82A5E">
      <w:pPr>
        <w:jc w:val="both"/>
        <w:rPr>
          <w:rFonts w:ascii="Arial" w:hAnsi="Arial" w:cs="Arial"/>
          <w:sz w:val="24"/>
          <w:szCs w:val="24"/>
          <w:lang w:val="el-GR"/>
        </w:rPr>
      </w:pPr>
      <w:r w:rsidRPr="00C82A5E">
        <w:rPr>
          <w:rFonts w:ascii="Arial" w:hAnsi="Arial" w:cs="Arial"/>
          <w:sz w:val="24"/>
          <w:szCs w:val="24"/>
          <w:lang w:val="el-GR"/>
        </w:rPr>
        <w:t>Πραγματοποιήθηκε στις 2-4 Δεκεμβρίου 2020, στη Βιέννη</w:t>
      </w:r>
      <w:r w:rsidR="0048527C">
        <w:rPr>
          <w:rFonts w:ascii="Arial" w:hAnsi="Arial" w:cs="Arial"/>
          <w:sz w:val="24"/>
          <w:szCs w:val="24"/>
          <w:lang w:val="el-GR"/>
        </w:rPr>
        <w:t>,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 w:rsidR="0048527C">
        <w:rPr>
          <w:rFonts w:ascii="Arial" w:hAnsi="Arial" w:cs="Arial"/>
          <w:sz w:val="24"/>
          <w:szCs w:val="24"/>
          <w:lang w:val="el-GR"/>
        </w:rPr>
        <w:t xml:space="preserve">με φυσική και ψηφιακή παρουσία, </w:t>
      </w:r>
      <w:r w:rsidRPr="00C82A5E">
        <w:rPr>
          <w:rFonts w:ascii="Arial" w:hAnsi="Arial" w:cs="Arial"/>
          <w:sz w:val="24"/>
          <w:szCs w:val="24"/>
          <w:lang w:val="el-GR"/>
        </w:rPr>
        <w:t>η 63</w:t>
      </w:r>
      <w:r w:rsidRPr="00C82A5E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Ενδιάμεση Σύνοδος της Επιτροπής Ναρκωτικών (</w:t>
      </w:r>
      <w:r w:rsidRPr="00C82A5E">
        <w:rPr>
          <w:rFonts w:ascii="Arial" w:hAnsi="Arial" w:cs="Arial"/>
          <w:sz w:val="24"/>
          <w:szCs w:val="24"/>
          <w:lang w:val="en-US"/>
        </w:rPr>
        <w:t>Commission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 w:rsidRPr="00C82A5E">
        <w:rPr>
          <w:rFonts w:ascii="Arial" w:hAnsi="Arial" w:cs="Arial"/>
          <w:sz w:val="24"/>
          <w:szCs w:val="24"/>
          <w:lang w:val="en-US"/>
        </w:rPr>
        <w:t>on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 w:rsidRPr="00C82A5E">
        <w:rPr>
          <w:rFonts w:ascii="Arial" w:hAnsi="Arial" w:cs="Arial"/>
          <w:sz w:val="24"/>
          <w:szCs w:val="24"/>
          <w:lang w:val="en-US"/>
        </w:rPr>
        <w:t>Narcotic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 w:rsidRPr="00C82A5E">
        <w:rPr>
          <w:rFonts w:ascii="Arial" w:hAnsi="Arial" w:cs="Arial"/>
          <w:sz w:val="24"/>
          <w:szCs w:val="24"/>
          <w:lang w:val="en-US"/>
        </w:rPr>
        <w:t>Drugs</w:t>
      </w:r>
      <w:r w:rsidR="00880D39">
        <w:rPr>
          <w:rFonts w:ascii="Arial" w:hAnsi="Arial" w:cs="Arial"/>
          <w:sz w:val="24"/>
          <w:szCs w:val="24"/>
          <w:lang w:val="el-GR"/>
        </w:rPr>
        <w:t xml:space="preserve">- </w:t>
      </w:r>
      <w:r w:rsidR="00880D39">
        <w:rPr>
          <w:rFonts w:ascii="Arial" w:hAnsi="Arial" w:cs="Arial"/>
          <w:sz w:val="24"/>
          <w:szCs w:val="24"/>
          <w:lang w:val="en-US"/>
        </w:rPr>
        <w:t>CND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) των Ηνωμένων Εθνών, κατά τη διάρκεια της οποίας λήφθηκε και η απόφαση, βάσει ψηφοφορίας, για τον διεθνή έλεγχο της κάνναβης και των παράγωγων </w:t>
      </w:r>
      <w:r>
        <w:rPr>
          <w:rFonts w:ascii="Arial" w:hAnsi="Arial" w:cs="Arial"/>
          <w:sz w:val="24"/>
          <w:szCs w:val="24"/>
          <w:lang w:val="el-GR"/>
        </w:rPr>
        <w:t xml:space="preserve">ουσιών 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της. </w:t>
      </w:r>
    </w:p>
    <w:p w14:paraId="2F314028" w14:textId="0B43F11D" w:rsidR="00042A19" w:rsidRPr="00042A19" w:rsidRDefault="00042A19" w:rsidP="00042A19">
      <w:pPr>
        <w:jc w:val="both"/>
        <w:rPr>
          <w:rFonts w:ascii="Arial" w:hAnsi="Arial" w:cs="Arial"/>
          <w:sz w:val="24"/>
          <w:szCs w:val="24"/>
          <w:lang w:val="el-GR"/>
        </w:rPr>
      </w:pPr>
      <w:r w:rsidRPr="00042A19">
        <w:rPr>
          <w:rFonts w:ascii="Arial" w:hAnsi="Arial" w:cs="Arial"/>
          <w:sz w:val="24"/>
          <w:szCs w:val="24"/>
          <w:lang w:val="el-GR"/>
        </w:rPr>
        <w:t xml:space="preserve">Σύμφωνα με τις </w:t>
      </w:r>
      <w:r>
        <w:rPr>
          <w:rFonts w:ascii="Arial" w:hAnsi="Arial" w:cs="Arial"/>
          <w:sz w:val="24"/>
          <w:szCs w:val="24"/>
          <w:lang w:val="el-GR"/>
        </w:rPr>
        <w:t>Δ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ιεθνείς </w:t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042A19">
        <w:rPr>
          <w:rFonts w:ascii="Arial" w:hAnsi="Arial" w:cs="Arial"/>
          <w:sz w:val="24"/>
          <w:szCs w:val="24"/>
          <w:lang w:val="el-GR"/>
        </w:rPr>
        <w:t>υμβάσεις ελέγχου των ναρκωτικών, η CND έχει την εντολή να αποφασίσει σχετικά με το πεδίο ελέγχου</w:t>
      </w:r>
      <w:r>
        <w:rPr>
          <w:rFonts w:ascii="Arial" w:hAnsi="Arial" w:cs="Arial"/>
          <w:sz w:val="24"/>
          <w:szCs w:val="24"/>
          <w:lang w:val="el-GR"/>
        </w:rPr>
        <w:t xml:space="preserve"> των </w:t>
      </w:r>
      <w:r w:rsidRPr="00042A19">
        <w:rPr>
          <w:rFonts w:ascii="Arial" w:hAnsi="Arial" w:cs="Arial"/>
          <w:sz w:val="24"/>
          <w:szCs w:val="24"/>
          <w:lang w:val="el-GR"/>
        </w:rPr>
        <w:t>ουσ</w:t>
      </w:r>
      <w:r>
        <w:rPr>
          <w:rFonts w:ascii="Arial" w:hAnsi="Arial" w:cs="Arial"/>
          <w:sz w:val="24"/>
          <w:szCs w:val="24"/>
          <w:lang w:val="el-GR"/>
        </w:rPr>
        <w:t xml:space="preserve">ιών, κατατάσσοντας 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τις </w:t>
      </w:r>
      <w:r>
        <w:rPr>
          <w:rFonts w:ascii="Arial" w:hAnsi="Arial" w:cs="Arial"/>
          <w:sz w:val="24"/>
          <w:szCs w:val="24"/>
          <w:lang w:val="el-GR"/>
        </w:rPr>
        <w:t>στους Πίνακες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 των </w:t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υμβάσεων. Κάθε σύμβαση περιλαμβάνει </w:t>
      </w:r>
      <w:r>
        <w:rPr>
          <w:rFonts w:ascii="Arial" w:hAnsi="Arial" w:cs="Arial"/>
          <w:sz w:val="24"/>
          <w:szCs w:val="24"/>
          <w:lang w:val="el-GR"/>
        </w:rPr>
        <w:t>Πίνακες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οι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 οποί</w:t>
      </w:r>
      <w:r>
        <w:rPr>
          <w:rFonts w:ascii="Arial" w:hAnsi="Arial" w:cs="Arial"/>
          <w:sz w:val="24"/>
          <w:szCs w:val="24"/>
          <w:lang w:val="el-GR"/>
        </w:rPr>
        <w:t>οι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 συνεπάγονται διαφορετικά καθεστώτα ελέγχου. Η Επιτροπή λαμβάνει τις αποφάσεις της βάσει των συστάσεων τ</w:t>
      </w:r>
      <w:r>
        <w:rPr>
          <w:rFonts w:ascii="Arial" w:hAnsi="Arial" w:cs="Arial"/>
          <w:sz w:val="24"/>
          <w:szCs w:val="24"/>
          <w:lang w:val="el-GR"/>
        </w:rPr>
        <w:t>ου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sz w:val="24"/>
          <w:szCs w:val="24"/>
          <w:lang w:val="el-GR"/>
        </w:rPr>
        <w:t>Παγκόσμιο</w:t>
      </w:r>
      <w:r>
        <w:rPr>
          <w:rFonts w:ascii="Arial" w:hAnsi="Arial" w:cs="Arial"/>
          <w:sz w:val="24"/>
          <w:szCs w:val="24"/>
          <w:lang w:val="el-GR"/>
        </w:rPr>
        <w:t>υ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Οργανισμ</w:t>
      </w:r>
      <w:r>
        <w:rPr>
          <w:rFonts w:ascii="Arial" w:hAnsi="Arial" w:cs="Arial"/>
          <w:sz w:val="24"/>
          <w:szCs w:val="24"/>
          <w:lang w:val="el-GR"/>
        </w:rPr>
        <w:t>ού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Υγείας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(</w:t>
      </w:r>
      <w:r w:rsidRPr="00042A19">
        <w:rPr>
          <w:rFonts w:ascii="Arial" w:hAnsi="Arial" w:cs="Arial"/>
          <w:sz w:val="24"/>
          <w:szCs w:val="24"/>
          <w:lang w:val="el-GR"/>
        </w:rPr>
        <w:t>ΠΟΥ</w:t>
      </w:r>
      <w:r>
        <w:rPr>
          <w:rFonts w:ascii="Arial" w:hAnsi="Arial" w:cs="Arial"/>
          <w:sz w:val="24"/>
          <w:szCs w:val="24"/>
          <w:lang w:val="el-GR"/>
        </w:rPr>
        <w:t>)</w:t>
      </w:r>
      <w:r w:rsidRPr="00042A19">
        <w:rPr>
          <w:rFonts w:ascii="Arial" w:hAnsi="Arial" w:cs="Arial"/>
          <w:sz w:val="24"/>
          <w:szCs w:val="24"/>
          <w:lang w:val="el-GR"/>
        </w:rPr>
        <w:t>, του Διεθνούς Συμβουλίου Ελέγχου των Ναρκωτικών (INCB) και των συμβαλλομένων κρατών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042A19">
        <w:rPr>
          <w:rFonts w:ascii="Arial" w:hAnsi="Arial" w:cs="Arial"/>
          <w:sz w:val="24"/>
          <w:szCs w:val="24"/>
          <w:lang w:val="el-GR"/>
        </w:rPr>
        <w:t xml:space="preserve">στις </w:t>
      </w:r>
      <w:r>
        <w:rPr>
          <w:rFonts w:ascii="Arial" w:hAnsi="Arial" w:cs="Arial"/>
          <w:sz w:val="24"/>
          <w:szCs w:val="24"/>
          <w:lang w:val="el-GR"/>
        </w:rPr>
        <w:t>Σ</w:t>
      </w:r>
      <w:r w:rsidRPr="00042A19">
        <w:rPr>
          <w:rFonts w:ascii="Arial" w:hAnsi="Arial" w:cs="Arial"/>
          <w:sz w:val="24"/>
          <w:szCs w:val="24"/>
          <w:lang w:val="el-GR"/>
        </w:rPr>
        <w:t>υμβάσεις.</w:t>
      </w:r>
    </w:p>
    <w:p w14:paraId="433A8434" w14:textId="3761E3AB" w:rsidR="00C82A5E" w:rsidRDefault="00C82A5E" w:rsidP="00C82A5E">
      <w:pPr>
        <w:jc w:val="both"/>
        <w:rPr>
          <w:rFonts w:ascii="Arial" w:hAnsi="Arial" w:cs="Arial"/>
          <w:sz w:val="24"/>
          <w:szCs w:val="24"/>
          <w:lang w:val="el-GR"/>
        </w:rPr>
      </w:pPr>
      <w:r w:rsidRPr="00C82A5E">
        <w:rPr>
          <w:rFonts w:ascii="Arial" w:hAnsi="Arial" w:cs="Arial"/>
          <w:sz w:val="24"/>
          <w:szCs w:val="24"/>
          <w:lang w:val="el-GR"/>
        </w:rPr>
        <w:t xml:space="preserve">Η κάνναβη και </w:t>
      </w:r>
      <w:r>
        <w:rPr>
          <w:rFonts w:ascii="Arial" w:hAnsi="Arial" w:cs="Arial"/>
          <w:sz w:val="24"/>
          <w:szCs w:val="24"/>
          <w:lang w:val="el-GR"/>
        </w:rPr>
        <w:t>οι ουσίες που συνδέονται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με την κάνναβη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συμπεριλ</w:t>
      </w:r>
      <w:r>
        <w:rPr>
          <w:rFonts w:ascii="Arial" w:hAnsi="Arial" w:cs="Arial"/>
          <w:sz w:val="24"/>
          <w:szCs w:val="24"/>
          <w:lang w:val="el-GR"/>
        </w:rPr>
        <w:t>αμβάνονταν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στη Διεθνή Σύμβαση για τα Ναρκωτικά </w:t>
      </w:r>
      <w:r w:rsidRPr="00C82A5E">
        <w:rPr>
          <w:rFonts w:ascii="Arial" w:hAnsi="Arial" w:cs="Arial"/>
          <w:sz w:val="24"/>
          <w:szCs w:val="24"/>
          <w:lang w:val="el-GR"/>
        </w:rPr>
        <w:t>του 1961, όπως τροποποιήθηκε από το πρωτόκολλο του 1972 (πίνακες Ι και IV: κάνναβη και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ρητίνη κάνναβης; </w:t>
      </w:r>
      <w:r>
        <w:rPr>
          <w:rFonts w:ascii="Arial" w:hAnsi="Arial" w:cs="Arial"/>
          <w:sz w:val="24"/>
          <w:szCs w:val="24"/>
          <w:lang w:val="el-GR"/>
        </w:rPr>
        <w:t>Πίνακας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Ι: εκχυλίσματα και βάμματα κάνναβης) καθώς </w:t>
      </w:r>
      <w:r>
        <w:rPr>
          <w:rFonts w:ascii="Arial" w:hAnsi="Arial" w:cs="Arial"/>
          <w:sz w:val="24"/>
          <w:szCs w:val="24"/>
          <w:lang w:val="el-GR"/>
        </w:rPr>
        <w:t xml:space="preserve">επίσης 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και </w:t>
      </w:r>
      <w:r>
        <w:rPr>
          <w:rFonts w:ascii="Arial" w:hAnsi="Arial" w:cs="Arial"/>
          <w:sz w:val="24"/>
          <w:szCs w:val="24"/>
          <w:lang w:val="el-GR"/>
        </w:rPr>
        <w:t>στους Πίνακες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της </w:t>
      </w:r>
      <w:r>
        <w:rPr>
          <w:rFonts w:ascii="Arial" w:hAnsi="Arial" w:cs="Arial"/>
          <w:sz w:val="24"/>
          <w:szCs w:val="24"/>
          <w:lang w:val="el-GR"/>
        </w:rPr>
        <w:t xml:space="preserve">Διεθνούς </w:t>
      </w:r>
      <w:r w:rsidRPr="00C82A5E">
        <w:rPr>
          <w:rFonts w:ascii="Arial" w:hAnsi="Arial" w:cs="Arial"/>
          <w:sz w:val="24"/>
          <w:szCs w:val="24"/>
          <w:lang w:val="el-GR"/>
        </w:rPr>
        <w:t>Σύμβασης</w:t>
      </w:r>
      <w:r>
        <w:rPr>
          <w:rFonts w:ascii="Arial" w:hAnsi="Arial" w:cs="Arial"/>
          <w:sz w:val="24"/>
          <w:szCs w:val="24"/>
          <w:lang w:val="el-GR"/>
        </w:rPr>
        <w:t xml:space="preserve"> για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Ψ</w:t>
      </w:r>
      <w:r w:rsidRPr="00C82A5E">
        <w:rPr>
          <w:rFonts w:ascii="Arial" w:hAnsi="Arial" w:cs="Arial"/>
          <w:sz w:val="24"/>
          <w:szCs w:val="24"/>
          <w:lang w:val="el-GR"/>
        </w:rPr>
        <w:t>υχοτρόπες</w:t>
      </w:r>
      <w:proofErr w:type="spellEnd"/>
      <w:r w:rsidRPr="00C82A5E">
        <w:rPr>
          <w:rFonts w:ascii="Arial" w:hAnsi="Arial" w:cs="Arial"/>
          <w:sz w:val="24"/>
          <w:szCs w:val="24"/>
          <w:lang w:val="el-GR"/>
        </w:rPr>
        <w:t xml:space="preserve"> </w:t>
      </w:r>
      <w:r w:rsidR="00042A19">
        <w:rPr>
          <w:rFonts w:ascii="Arial" w:hAnsi="Arial" w:cs="Arial"/>
          <w:sz w:val="24"/>
          <w:szCs w:val="24"/>
          <w:lang w:val="el-GR"/>
        </w:rPr>
        <w:t>Ο</w:t>
      </w:r>
      <w:r w:rsidRPr="00C82A5E">
        <w:rPr>
          <w:rFonts w:ascii="Arial" w:hAnsi="Arial" w:cs="Arial"/>
          <w:sz w:val="24"/>
          <w:szCs w:val="24"/>
          <w:lang w:val="el-GR"/>
        </w:rPr>
        <w:t>υσίες του 1971 (Π</w:t>
      </w:r>
      <w:r>
        <w:rPr>
          <w:rFonts w:ascii="Arial" w:hAnsi="Arial" w:cs="Arial"/>
          <w:sz w:val="24"/>
          <w:szCs w:val="24"/>
          <w:lang w:val="el-GR"/>
        </w:rPr>
        <w:t>ίνακας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Ι: </w:t>
      </w:r>
      <w:proofErr w:type="spellStart"/>
      <w:r w:rsidRPr="00C82A5E">
        <w:rPr>
          <w:rFonts w:ascii="Arial" w:hAnsi="Arial" w:cs="Arial"/>
          <w:sz w:val="24"/>
          <w:szCs w:val="24"/>
          <w:lang w:val="el-GR"/>
        </w:rPr>
        <w:t>τετραϋδροκανναβινόλη</w:t>
      </w:r>
      <w:proofErr w:type="spellEnd"/>
      <w:r w:rsidRPr="00C82A5E">
        <w:rPr>
          <w:rFonts w:ascii="Arial" w:hAnsi="Arial" w:cs="Arial"/>
          <w:sz w:val="24"/>
          <w:szCs w:val="24"/>
          <w:lang w:val="el-GR"/>
        </w:rPr>
        <w:t xml:space="preserve"> (έξι ισομερή τ</w:t>
      </w:r>
      <w:r>
        <w:rPr>
          <w:rFonts w:ascii="Arial" w:hAnsi="Arial" w:cs="Arial"/>
          <w:sz w:val="24"/>
          <w:szCs w:val="24"/>
          <w:lang w:val="el-GR"/>
        </w:rPr>
        <w:t>ης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δέλτα-9-τετραϋδροκανναβινόλη</w:t>
      </w:r>
      <w:r>
        <w:rPr>
          <w:rFonts w:ascii="Arial" w:hAnsi="Arial" w:cs="Arial"/>
          <w:sz w:val="24"/>
          <w:szCs w:val="24"/>
          <w:lang w:val="el-GR"/>
        </w:rPr>
        <w:t>ς</w:t>
      </w:r>
      <w:r w:rsidRPr="00C82A5E">
        <w:rPr>
          <w:rFonts w:ascii="Arial" w:hAnsi="Arial" w:cs="Arial"/>
          <w:sz w:val="24"/>
          <w:szCs w:val="24"/>
          <w:lang w:val="el-GR"/>
        </w:rPr>
        <w:t>); Π</w:t>
      </w:r>
      <w:r>
        <w:rPr>
          <w:rFonts w:ascii="Arial" w:hAnsi="Arial" w:cs="Arial"/>
          <w:sz w:val="24"/>
          <w:szCs w:val="24"/>
          <w:lang w:val="el-GR"/>
        </w:rPr>
        <w:t>ίνακας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II: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δροναβινόλη</w:t>
      </w:r>
      <w:proofErr w:type="spellEnd"/>
      <w:r w:rsidRPr="00C82A5E">
        <w:rPr>
          <w:rFonts w:ascii="Arial" w:hAnsi="Arial" w:cs="Arial"/>
          <w:sz w:val="24"/>
          <w:szCs w:val="24"/>
          <w:lang w:val="el-GR"/>
        </w:rPr>
        <w:t xml:space="preserve"> και τα στερεοϊσομερή τ</w:t>
      </w:r>
      <w:r>
        <w:rPr>
          <w:rFonts w:ascii="Arial" w:hAnsi="Arial" w:cs="Arial"/>
          <w:sz w:val="24"/>
          <w:szCs w:val="24"/>
          <w:lang w:val="el-GR"/>
        </w:rPr>
        <w:t>ης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(δέλτα-9-τετραϋδροκανναβινόλη)</w:t>
      </w:r>
      <w:r>
        <w:rPr>
          <w:rFonts w:ascii="Arial" w:hAnsi="Arial" w:cs="Arial"/>
          <w:sz w:val="24"/>
          <w:szCs w:val="24"/>
          <w:lang w:val="el-GR"/>
        </w:rPr>
        <w:t xml:space="preserve">). 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Η συμπερίληψη </w:t>
      </w:r>
      <w:r w:rsidR="00880D39">
        <w:rPr>
          <w:rFonts w:ascii="Arial" w:hAnsi="Arial" w:cs="Arial"/>
          <w:sz w:val="24"/>
          <w:szCs w:val="24"/>
          <w:lang w:val="el-GR"/>
        </w:rPr>
        <w:t xml:space="preserve">μίας ουσίας 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σε ένα συγκεκριμένο </w:t>
      </w:r>
      <w:r>
        <w:rPr>
          <w:rFonts w:ascii="Arial" w:hAnsi="Arial" w:cs="Arial"/>
          <w:sz w:val="24"/>
          <w:szCs w:val="24"/>
          <w:lang w:val="el-GR"/>
        </w:rPr>
        <w:t>Πίνακα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καθορίζει τα μέτρα ελέγχου που πρέπει να εφαρμό</w:t>
      </w:r>
      <w:r>
        <w:rPr>
          <w:rFonts w:ascii="Arial" w:hAnsi="Arial" w:cs="Arial"/>
          <w:sz w:val="24"/>
          <w:szCs w:val="24"/>
          <w:lang w:val="el-GR"/>
        </w:rPr>
        <w:t>ζ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ουν τα συμβαλλόμενα κράτη </w:t>
      </w:r>
      <w:r w:rsidR="00880D39">
        <w:rPr>
          <w:rFonts w:ascii="Arial" w:hAnsi="Arial" w:cs="Arial"/>
          <w:sz w:val="24"/>
          <w:szCs w:val="24"/>
          <w:lang w:val="el-GR"/>
        </w:rPr>
        <w:t>για την εν λόγω</w:t>
      </w:r>
      <w:r w:rsidRPr="00C82A5E">
        <w:rPr>
          <w:rFonts w:ascii="Arial" w:hAnsi="Arial" w:cs="Arial"/>
          <w:sz w:val="24"/>
          <w:szCs w:val="24"/>
          <w:lang w:val="el-GR"/>
        </w:rPr>
        <w:t xml:space="preserve"> ουσί</w:t>
      </w:r>
      <w:r w:rsidR="00880D39">
        <w:rPr>
          <w:rFonts w:ascii="Arial" w:hAnsi="Arial" w:cs="Arial"/>
          <w:sz w:val="24"/>
          <w:szCs w:val="24"/>
          <w:lang w:val="el-GR"/>
        </w:rPr>
        <w:t>α</w:t>
      </w:r>
      <w:r w:rsidRPr="00C82A5E">
        <w:rPr>
          <w:rFonts w:ascii="Arial" w:hAnsi="Arial" w:cs="Arial"/>
          <w:sz w:val="24"/>
          <w:szCs w:val="24"/>
          <w:lang w:val="el-GR"/>
        </w:rPr>
        <w:t>.</w:t>
      </w:r>
    </w:p>
    <w:p w14:paraId="639412EC" w14:textId="47ADC0E0" w:rsidR="00880D39" w:rsidRDefault="00880D39" w:rsidP="00880D39">
      <w:pPr>
        <w:jc w:val="both"/>
        <w:rPr>
          <w:rFonts w:ascii="Arial" w:hAnsi="Arial" w:cs="Arial"/>
          <w:sz w:val="24"/>
          <w:szCs w:val="24"/>
          <w:lang w:val="el-GR"/>
        </w:rPr>
      </w:pPr>
      <w:r w:rsidRPr="00880D39">
        <w:rPr>
          <w:rFonts w:ascii="Arial" w:hAnsi="Arial" w:cs="Arial"/>
          <w:sz w:val="24"/>
          <w:szCs w:val="24"/>
          <w:lang w:val="el-GR"/>
        </w:rPr>
        <w:t>Τον Ιανουάριο του 2019, ο ΠΟΥ έκανε μια σειρά συστάσεων για να αλλάξει το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πεδίο ελέγχου της κάνναβης και των σχετικών με την κάνναβη ουσιών. </w:t>
      </w:r>
      <w:r>
        <w:rPr>
          <w:rFonts w:ascii="Arial" w:hAnsi="Arial" w:cs="Arial"/>
          <w:sz w:val="24"/>
          <w:szCs w:val="24"/>
          <w:lang w:val="el-GR"/>
        </w:rPr>
        <w:t xml:space="preserve">Έπειτα 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από εντατικές </w:t>
      </w:r>
      <w:r>
        <w:rPr>
          <w:rFonts w:ascii="Arial" w:hAnsi="Arial" w:cs="Arial"/>
          <w:sz w:val="24"/>
          <w:szCs w:val="24"/>
          <w:lang w:val="el-GR"/>
        </w:rPr>
        <w:t>διαβουλεύσεις μεταξύ των κρατών μελών και των εμπειρογνωμόνων,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η Επιτροπή </w:t>
      </w:r>
      <w:r>
        <w:rPr>
          <w:rFonts w:ascii="Arial" w:hAnsi="Arial" w:cs="Arial"/>
          <w:sz w:val="24"/>
          <w:szCs w:val="24"/>
          <w:lang w:val="el-GR"/>
        </w:rPr>
        <w:t>Ναρκωτικών (</w:t>
      </w:r>
      <w:r>
        <w:rPr>
          <w:rFonts w:ascii="Arial" w:hAnsi="Arial" w:cs="Arial"/>
          <w:sz w:val="24"/>
          <w:szCs w:val="24"/>
          <w:lang w:val="en-US"/>
        </w:rPr>
        <w:t>CND</w:t>
      </w:r>
      <w:r w:rsidRPr="00880D39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στις 2 Δεκεμβρίου αποφάσισε τα εξής:</w:t>
      </w:r>
    </w:p>
    <w:p w14:paraId="4A7A2510" w14:textId="27534FCD" w:rsidR="00880D39" w:rsidRDefault="00880D39" w:rsidP="00880D39">
      <w:pPr>
        <w:jc w:val="both"/>
        <w:rPr>
          <w:rFonts w:ascii="Arial" w:hAnsi="Arial" w:cs="Arial"/>
          <w:sz w:val="24"/>
          <w:szCs w:val="24"/>
          <w:lang w:val="el-GR"/>
        </w:rPr>
      </w:pPr>
      <w:r w:rsidRPr="00880D39">
        <w:rPr>
          <w:rFonts w:ascii="Arial" w:hAnsi="Arial" w:cs="Arial"/>
          <w:b/>
          <w:bCs/>
          <w:sz w:val="24"/>
          <w:szCs w:val="24"/>
          <w:lang w:val="el-GR"/>
        </w:rPr>
        <w:t>(1)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Σύσταση του ΠΟΥ να διαγραφεί η κάνναβη και η ρητίνη κάνναβης από τον Πίνακα IV της Σύμβασης του 1961, αλλά να παραμείνει στον Πίνακα Ι της Σύμβασης του 1961</w:t>
      </w:r>
      <w:r w:rsidRPr="00880D39">
        <w:rPr>
          <w:rFonts w:ascii="Arial" w:hAnsi="Arial" w:cs="Arial"/>
          <w:sz w:val="24"/>
          <w:szCs w:val="24"/>
          <w:lang w:val="el-GR"/>
        </w:rPr>
        <w:t>: Η Επιτροπή αποφάσισε με 27 ψήφους υπέρ</w:t>
      </w:r>
      <w:r w:rsidR="00085408">
        <w:rPr>
          <w:rFonts w:ascii="Arial" w:hAnsi="Arial" w:cs="Arial"/>
          <w:sz w:val="24"/>
          <w:szCs w:val="24"/>
          <w:lang w:val="el-GR"/>
        </w:rPr>
        <w:t>,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25</w:t>
      </w:r>
      <w:r>
        <w:rPr>
          <w:rFonts w:ascii="Arial" w:hAnsi="Arial" w:cs="Arial"/>
          <w:sz w:val="24"/>
          <w:szCs w:val="24"/>
          <w:lang w:val="el-GR"/>
        </w:rPr>
        <w:t xml:space="preserve"> κατά και </w:t>
      </w:r>
      <w:r w:rsidRPr="00880D39">
        <w:rPr>
          <w:rFonts w:ascii="Arial" w:hAnsi="Arial" w:cs="Arial"/>
          <w:sz w:val="24"/>
          <w:szCs w:val="24"/>
          <w:lang w:val="el-GR"/>
        </w:rPr>
        <w:t>μία αποχή να ακολουθ</w:t>
      </w:r>
      <w:r>
        <w:rPr>
          <w:rFonts w:ascii="Arial" w:hAnsi="Arial" w:cs="Arial"/>
          <w:sz w:val="24"/>
          <w:szCs w:val="24"/>
          <w:lang w:val="el-GR"/>
        </w:rPr>
        <w:t>ήσει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αυτή τη σύσταση. Η κάνναβη και η ρητίνη κάνναβης θα διαγραφούν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sz w:val="24"/>
          <w:szCs w:val="24"/>
          <w:lang w:val="el-GR"/>
        </w:rPr>
        <w:t>από το</w:t>
      </w:r>
      <w:r>
        <w:rPr>
          <w:rFonts w:ascii="Arial" w:hAnsi="Arial" w:cs="Arial"/>
          <w:sz w:val="24"/>
          <w:szCs w:val="24"/>
          <w:lang w:val="el-GR"/>
        </w:rPr>
        <w:t>ν Πίνακα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IV της Σύμβασης του 1961. Παραμένουν στο</w:t>
      </w:r>
      <w:r>
        <w:rPr>
          <w:rFonts w:ascii="Arial" w:hAnsi="Arial" w:cs="Arial"/>
          <w:sz w:val="24"/>
          <w:szCs w:val="24"/>
          <w:lang w:val="el-GR"/>
        </w:rPr>
        <w:t>ν Πίνακα</w:t>
      </w:r>
      <w:r w:rsidRPr="00880D39">
        <w:rPr>
          <w:rFonts w:ascii="Arial" w:hAnsi="Arial" w:cs="Arial"/>
          <w:sz w:val="24"/>
          <w:szCs w:val="24"/>
          <w:lang w:val="el-GR"/>
        </w:rPr>
        <w:t xml:space="preserve"> Ι της Σύμβασης του 1961 και ως εκ τούτου υπόκει</w:t>
      </w:r>
      <w:r>
        <w:rPr>
          <w:rFonts w:ascii="Arial" w:hAnsi="Arial" w:cs="Arial"/>
          <w:sz w:val="24"/>
          <w:szCs w:val="24"/>
          <w:lang w:val="el-GR"/>
        </w:rPr>
        <w:t>ν</w:t>
      </w:r>
      <w:r w:rsidRPr="00880D39">
        <w:rPr>
          <w:rFonts w:ascii="Arial" w:hAnsi="Arial" w:cs="Arial"/>
          <w:sz w:val="24"/>
          <w:szCs w:val="24"/>
          <w:lang w:val="el-GR"/>
        </w:rPr>
        <w:t>ται σε όλα τα επίπεδα ελέγχου της Σύμβασης του 1961.</w:t>
      </w:r>
    </w:p>
    <w:p w14:paraId="1F27EF43" w14:textId="733CD208" w:rsidR="00085408" w:rsidRPr="00085408" w:rsidRDefault="00880D39" w:rsidP="0008540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(2)</w:t>
      </w:r>
      <w:r>
        <w:rPr>
          <w:rFonts w:ascii="Courier New" w:eastAsia="Times New Roman" w:hAnsi="Courier New" w:cs="Courier New"/>
          <w:color w:val="202124"/>
          <w:sz w:val="42"/>
          <w:szCs w:val="42"/>
          <w:lang w:val="el-GR" w:eastAsia="en-GB"/>
        </w:rPr>
        <w:t xml:space="preserve">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Σύσταση τ</w:t>
      </w:r>
      <w:r>
        <w:rPr>
          <w:rFonts w:ascii="Arial" w:hAnsi="Arial" w:cs="Arial"/>
          <w:b/>
          <w:bCs/>
          <w:sz w:val="24"/>
          <w:szCs w:val="24"/>
          <w:lang w:val="el-GR"/>
        </w:rPr>
        <w:t>ου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ΠΟΥ για τη μετακίνηση της </w:t>
      </w:r>
      <w:proofErr w:type="spellStart"/>
      <w:r w:rsidRPr="00880D39">
        <w:rPr>
          <w:rFonts w:ascii="Arial" w:hAnsi="Arial" w:cs="Arial"/>
          <w:b/>
          <w:bCs/>
          <w:sz w:val="24"/>
          <w:szCs w:val="24"/>
          <w:lang w:val="el-GR"/>
        </w:rPr>
        <w:t>δροναβινόλης</w:t>
      </w:r>
      <w:proofErr w:type="spellEnd"/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και των στερεοϊσομερών της (δέλτα-9-τετραϋδροκανναβινόλη) και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της </w:t>
      </w:r>
      <w:proofErr w:type="spellStart"/>
      <w:r>
        <w:rPr>
          <w:rFonts w:ascii="Arial" w:hAnsi="Arial" w:cs="Arial"/>
          <w:b/>
          <w:bCs/>
          <w:sz w:val="24"/>
          <w:szCs w:val="24"/>
          <w:lang w:val="el-GR"/>
        </w:rPr>
        <w:t>τ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ετραϋδροκανναβινόλη</w:t>
      </w:r>
      <w:r>
        <w:rPr>
          <w:rFonts w:ascii="Arial" w:hAnsi="Arial" w:cs="Arial"/>
          <w:b/>
          <w:bCs/>
          <w:sz w:val="24"/>
          <w:szCs w:val="24"/>
          <w:lang w:val="el-GR"/>
        </w:rPr>
        <w:t>ς</w:t>
      </w:r>
      <w:proofErr w:type="spellEnd"/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(έξι ισομερή της δέλτα-9-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lastRenderedPageBreak/>
        <w:t>τετραϋδροκανναβινόλη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ς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), τα οποία είναι </w:t>
      </w:r>
      <w:proofErr w:type="spellStart"/>
      <w:r w:rsidRPr="00880D39">
        <w:rPr>
          <w:rFonts w:ascii="Arial" w:hAnsi="Arial" w:cs="Arial"/>
          <w:b/>
          <w:bCs/>
          <w:sz w:val="24"/>
          <w:szCs w:val="24"/>
          <w:lang w:val="el-GR"/>
        </w:rPr>
        <w:t>ψυχοδραστικά</w:t>
      </w:r>
      <w:proofErr w:type="spellEnd"/>
      <w:r w:rsidR="005F1DA7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συστατικά της κάνναβης, από τ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ους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αντίστοιχ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ους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Πίνακες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της Σύμβασης του 1971 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σ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το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ν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Π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ίνακα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Ι 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 xml:space="preserve">της </w:t>
      </w:r>
      <w:r w:rsidR="005F1DA7" w:rsidRPr="00880D39">
        <w:rPr>
          <w:rFonts w:ascii="Arial" w:hAnsi="Arial" w:cs="Arial"/>
          <w:b/>
          <w:bCs/>
          <w:sz w:val="24"/>
          <w:szCs w:val="24"/>
          <w:lang w:val="el-GR"/>
        </w:rPr>
        <w:t>Σύμβαση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ς</w:t>
      </w:r>
      <w:r w:rsidR="005F1DA7"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του 1961, η οποία περιλαμβάνει ήδη 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 xml:space="preserve">την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 xml:space="preserve">κάνναβη και 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 xml:space="preserve">τη </w:t>
      </w:r>
      <w:r w:rsidRPr="00880D39">
        <w:rPr>
          <w:rFonts w:ascii="Arial" w:hAnsi="Arial" w:cs="Arial"/>
          <w:b/>
          <w:bCs/>
          <w:sz w:val="24"/>
          <w:szCs w:val="24"/>
          <w:lang w:val="el-GR"/>
        </w:rPr>
        <w:t>ρητίνη κάνναβης</w:t>
      </w:r>
      <w:r w:rsidR="005F1DA7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="00085408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085408" w:rsidRPr="00085408">
        <w:rPr>
          <w:rFonts w:ascii="Arial" w:hAnsi="Arial" w:cs="Arial"/>
          <w:sz w:val="24"/>
          <w:szCs w:val="24"/>
          <w:lang w:val="el-GR"/>
        </w:rPr>
        <w:t>Η Επιτροπή απέρριψε με 23 ψήφους υπέρ, 28</w:t>
      </w:r>
      <w:r w:rsidR="00085408">
        <w:rPr>
          <w:rFonts w:ascii="Arial" w:hAnsi="Arial" w:cs="Arial"/>
          <w:sz w:val="24"/>
          <w:szCs w:val="24"/>
          <w:lang w:val="el-GR"/>
        </w:rPr>
        <w:t xml:space="preserve"> κατά και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2 αποχές τη σύσταση για προσθήκη </w:t>
      </w:r>
      <w:proofErr w:type="spellStart"/>
      <w:r w:rsidR="00085408" w:rsidRPr="00085408">
        <w:rPr>
          <w:rFonts w:ascii="Arial" w:hAnsi="Arial" w:cs="Arial"/>
          <w:sz w:val="24"/>
          <w:szCs w:val="24"/>
          <w:lang w:val="el-GR"/>
        </w:rPr>
        <w:t>δρονναβινόλης</w:t>
      </w:r>
      <w:proofErr w:type="spellEnd"/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και των στερεοϊσομερών της (δέλτα-9-τετραϋδροκανναβινόλη)</w:t>
      </w:r>
      <w:r w:rsidR="00085408">
        <w:rPr>
          <w:rFonts w:ascii="Arial" w:hAnsi="Arial" w:cs="Arial"/>
          <w:sz w:val="24"/>
          <w:szCs w:val="24"/>
          <w:lang w:val="el-GR"/>
        </w:rPr>
        <w:t xml:space="preserve"> 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στον </w:t>
      </w:r>
      <w:r w:rsidR="00085408">
        <w:rPr>
          <w:rFonts w:ascii="Arial" w:hAnsi="Arial" w:cs="Arial"/>
          <w:sz w:val="24"/>
          <w:szCs w:val="24"/>
          <w:lang w:val="el-GR"/>
        </w:rPr>
        <w:t>Π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ίνακα Ι της </w:t>
      </w:r>
      <w:r w:rsidR="00085408">
        <w:rPr>
          <w:rFonts w:ascii="Arial" w:hAnsi="Arial" w:cs="Arial"/>
          <w:sz w:val="24"/>
          <w:szCs w:val="24"/>
          <w:lang w:val="el-GR"/>
        </w:rPr>
        <w:t>Σ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ύμβασης του 1961. Λόγω των προϋποθέσεων που περιλαμβάνονται στις συστάσεις του ΠΟΥ, η Επιτροπή δεν ψήφισε σχετικά με τη σύσταση </w:t>
      </w:r>
      <w:r w:rsidR="00085408">
        <w:rPr>
          <w:rFonts w:ascii="Arial" w:hAnsi="Arial" w:cs="Arial"/>
          <w:sz w:val="24"/>
          <w:szCs w:val="24"/>
          <w:lang w:val="el-GR"/>
        </w:rPr>
        <w:t>για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τη διαγραφή της </w:t>
      </w:r>
      <w:proofErr w:type="spellStart"/>
      <w:r w:rsidR="00085408">
        <w:rPr>
          <w:rFonts w:ascii="Arial" w:hAnsi="Arial" w:cs="Arial"/>
          <w:sz w:val="24"/>
          <w:szCs w:val="24"/>
          <w:lang w:val="el-GR"/>
        </w:rPr>
        <w:t>δροναβινόλης</w:t>
      </w:r>
      <w:proofErr w:type="spellEnd"/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και τ</w:t>
      </w:r>
      <w:r w:rsidR="00085408">
        <w:rPr>
          <w:rFonts w:ascii="Arial" w:hAnsi="Arial" w:cs="Arial"/>
          <w:sz w:val="24"/>
          <w:szCs w:val="24"/>
          <w:lang w:val="el-GR"/>
        </w:rPr>
        <w:t xml:space="preserve">ων </w:t>
      </w:r>
      <w:r w:rsidR="00085408" w:rsidRPr="00085408">
        <w:rPr>
          <w:rFonts w:ascii="Arial" w:hAnsi="Arial" w:cs="Arial"/>
          <w:sz w:val="24"/>
          <w:szCs w:val="24"/>
          <w:lang w:val="el-GR"/>
        </w:rPr>
        <w:t>στερεοϊσομερ</w:t>
      </w:r>
      <w:r w:rsidR="00085408">
        <w:rPr>
          <w:rFonts w:ascii="Arial" w:hAnsi="Arial" w:cs="Arial"/>
          <w:sz w:val="24"/>
          <w:szCs w:val="24"/>
          <w:lang w:val="el-GR"/>
        </w:rPr>
        <w:t>ών της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(δέλτα-9-τετραϋδροκανναβινόλη) από τη Σύμβαση του 1971. Επίσης, δεν ψήφισε τ</w:t>
      </w:r>
      <w:r w:rsidR="00085408">
        <w:rPr>
          <w:rFonts w:ascii="Arial" w:hAnsi="Arial" w:cs="Arial"/>
          <w:sz w:val="24"/>
          <w:szCs w:val="24"/>
          <w:lang w:val="el-GR"/>
        </w:rPr>
        <w:t xml:space="preserve">η 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σύσταση για </w:t>
      </w:r>
      <w:r w:rsidR="00085408">
        <w:rPr>
          <w:rFonts w:ascii="Arial" w:hAnsi="Arial" w:cs="Arial"/>
          <w:sz w:val="24"/>
          <w:szCs w:val="24"/>
          <w:lang w:val="el-GR"/>
        </w:rPr>
        <w:t>μετακίνηση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της </w:t>
      </w:r>
      <w:proofErr w:type="spellStart"/>
      <w:r w:rsidR="00085408" w:rsidRPr="00085408">
        <w:rPr>
          <w:rFonts w:ascii="Arial" w:hAnsi="Arial" w:cs="Arial"/>
          <w:sz w:val="24"/>
          <w:szCs w:val="24"/>
          <w:lang w:val="el-GR"/>
        </w:rPr>
        <w:t>τετραϋδροκανναβινόλης</w:t>
      </w:r>
      <w:proofErr w:type="spellEnd"/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(έξι ισομερή της δέλτα-9-τετραϋδροκανναβινόλης) από τ</w:t>
      </w:r>
      <w:r w:rsidR="00085408">
        <w:rPr>
          <w:rFonts w:ascii="Arial" w:hAnsi="Arial" w:cs="Arial"/>
          <w:sz w:val="24"/>
          <w:szCs w:val="24"/>
          <w:lang w:val="el-GR"/>
        </w:rPr>
        <w:t>η Σύμβαση του</w:t>
      </w:r>
      <w:r w:rsidR="00085408" w:rsidRPr="00085408">
        <w:rPr>
          <w:rFonts w:ascii="Arial" w:hAnsi="Arial" w:cs="Arial"/>
          <w:sz w:val="24"/>
          <w:szCs w:val="24"/>
          <w:lang w:val="el-GR"/>
        </w:rPr>
        <w:t xml:space="preserve"> 1971</w:t>
      </w:r>
      <w:r w:rsidR="00085408">
        <w:rPr>
          <w:rFonts w:ascii="Arial" w:hAnsi="Arial" w:cs="Arial"/>
          <w:sz w:val="24"/>
          <w:szCs w:val="24"/>
          <w:lang w:val="el-GR"/>
        </w:rPr>
        <w:t xml:space="preserve"> </w:t>
      </w:r>
      <w:r w:rsidR="00085408" w:rsidRPr="00085408">
        <w:rPr>
          <w:rFonts w:ascii="Arial" w:hAnsi="Arial" w:cs="Arial"/>
          <w:sz w:val="24"/>
          <w:szCs w:val="24"/>
          <w:lang w:val="el-GR"/>
        </w:rPr>
        <w:t>στη Σύμβαση του 1961.</w:t>
      </w:r>
    </w:p>
    <w:p w14:paraId="4B945983" w14:textId="7CEBC36C" w:rsidR="00085408" w:rsidRDefault="00085408" w:rsidP="00085408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(3) 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 xml:space="preserve">Σύσταση του ΠΟΥ να διαγραφούν τα εκχυλίσματα και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τα 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>βάμματα κάνναβης από το</w:t>
      </w:r>
      <w:r>
        <w:rPr>
          <w:rFonts w:ascii="Arial" w:hAnsi="Arial" w:cs="Arial"/>
          <w:b/>
          <w:bCs/>
          <w:sz w:val="24"/>
          <w:szCs w:val="24"/>
          <w:lang w:val="el-GR"/>
        </w:rPr>
        <w:t>ν Πίνακα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 xml:space="preserve"> Ι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της 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>Σύμβαση</w:t>
      </w:r>
      <w:r>
        <w:rPr>
          <w:rFonts w:ascii="Arial" w:hAnsi="Arial" w:cs="Arial"/>
          <w:b/>
          <w:bCs/>
          <w:sz w:val="24"/>
          <w:szCs w:val="24"/>
          <w:lang w:val="el-GR"/>
        </w:rPr>
        <w:t>ς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 xml:space="preserve"> του 1961: </w:t>
      </w:r>
      <w:r w:rsidRPr="00085408">
        <w:rPr>
          <w:rFonts w:ascii="Arial" w:hAnsi="Arial" w:cs="Arial"/>
          <w:sz w:val="24"/>
          <w:szCs w:val="24"/>
          <w:lang w:val="el-GR"/>
        </w:rPr>
        <w:t xml:space="preserve">Η Επιτροπή αποφάσισε με 24 ψήφους υπέρ, 27 </w:t>
      </w:r>
      <w:r>
        <w:rPr>
          <w:rFonts w:ascii="Arial" w:hAnsi="Arial" w:cs="Arial"/>
          <w:sz w:val="24"/>
          <w:szCs w:val="24"/>
          <w:lang w:val="el-GR"/>
        </w:rPr>
        <w:t xml:space="preserve">κατά </w:t>
      </w:r>
      <w:r w:rsidRPr="00085408">
        <w:rPr>
          <w:rFonts w:ascii="Arial" w:hAnsi="Arial" w:cs="Arial"/>
          <w:sz w:val="24"/>
          <w:szCs w:val="24"/>
          <w:lang w:val="el-GR"/>
        </w:rPr>
        <w:t>και με 2 αποχές να μην εγκρίνει</w:t>
      </w:r>
      <w:r>
        <w:rPr>
          <w:rFonts w:ascii="Arial" w:hAnsi="Arial" w:cs="Arial"/>
          <w:sz w:val="24"/>
          <w:szCs w:val="24"/>
          <w:lang w:val="el-GR"/>
        </w:rPr>
        <w:t xml:space="preserve"> τη </w:t>
      </w:r>
      <w:r w:rsidRPr="00085408">
        <w:rPr>
          <w:rFonts w:ascii="Arial" w:hAnsi="Arial" w:cs="Arial"/>
          <w:sz w:val="24"/>
          <w:szCs w:val="24"/>
          <w:lang w:val="el-GR"/>
        </w:rPr>
        <w:t>σύσταση.</w:t>
      </w:r>
    </w:p>
    <w:p w14:paraId="69BA4BB1" w14:textId="00AC660E" w:rsidR="00085408" w:rsidRPr="00085408" w:rsidRDefault="00085408" w:rsidP="00085408">
      <w:pPr>
        <w:jc w:val="both"/>
        <w:rPr>
          <w:rFonts w:ascii="Arial" w:hAnsi="Arial" w:cs="Arial"/>
          <w:sz w:val="24"/>
          <w:szCs w:val="24"/>
          <w:lang w:val="el-GR"/>
        </w:rPr>
      </w:pPr>
      <w:r w:rsidRPr="00D94AD2">
        <w:rPr>
          <w:rFonts w:ascii="Arial" w:hAnsi="Arial" w:cs="Arial"/>
          <w:b/>
          <w:bCs/>
          <w:sz w:val="24"/>
          <w:szCs w:val="24"/>
          <w:lang w:val="el-GR"/>
        </w:rPr>
        <w:t>(4)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085408">
        <w:rPr>
          <w:rFonts w:ascii="Arial" w:hAnsi="Arial" w:cs="Arial"/>
          <w:b/>
          <w:bCs/>
          <w:sz w:val="24"/>
          <w:szCs w:val="24"/>
          <w:lang w:val="el-GR"/>
        </w:rPr>
        <w:t xml:space="preserve">Σύσταση του ΠΟΥ να προστεθεί μια υποσημείωση στον Πίνακα Ι της Σύμβασης του 1961 που να διευκρινίζει ότι «Προετοιμασίες που περιέχουν κυρίως </w:t>
      </w:r>
      <w:proofErr w:type="spellStart"/>
      <w:r w:rsidRPr="00085408">
        <w:rPr>
          <w:rFonts w:ascii="Arial" w:hAnsi="Arial" w:cs="Arial"/>
          <w:b/>
          <w:bCs/>
          <w:sz w:val="24"/>
          <w:szCs w:val="24"/>
          <w:lang w:val="el-GR"/>
        </w:rPr>
        <w:t>κανναβιδιόλη</w:t>
      </w:r>
      <w:proofErr w:type="spellEnd"/>
      <w:r w:rsidRPr="00085408">
        <w:rPr>
          <w:rFonts w:ascii="Arial" w:hAnsi="Arial" w:cs="Arial"/>
          <w:b/>
          <w:bCs/>
          <w:sz w:val="24"/>
          <w:szCs w:val="24"/>
          <w:lang w:val="el-GR"/>
        </w:rPr>
        <w:t xml:space="preserve"> και όχι περισσότερο από 0,2% της δέλτα-9-τετραϋδροκανναβινόλης, δεν υπάγονται σε διεθνή έλεγχο»:</w:t>
      </w:r>
      <w:r w:rsidRPr="00085408">
        <w:rPr>
          <w:rFonts w:ascii="Arial" w:hAnsi="Arial" w:cs="Arial"/>
          <w:sz w:val="24"/>
          <w:szCs w:val="24"/>
          <w:lang w:val="el-GR"/>
        </w:rPr>
        <w:t xml:space="preserve"> Η Επιτροπή αποφάσισε με 6 </w:t>
      </w:r>
      <w:r>
        <w:rPr>
          <w:rFonts w:ascii="Arial" w:hAnsi="Arial" w:cs="Arial"/>
          <w:sz w:val="24"/>
          <w:szCs w:val="24"/>
          <w:lang w:val="el-GR"/>
        </w:rPr>
        <w:t>ψήφους υπέρ,</w:t>
      </w:r>
      <w:r w:rsidRPr="00085408">
        <w:rPr>
          <w:rFonts w:ascii="Arial" w:hAnsi="Arial" w:cs="Arial"/>
          <w:sz w:val="24"/>
          <w:szCs w:val="24"/>
          <w:lang w:val="el-GR"/>
        </w:rPr>
        <w:t xml:space="preserve"> 43 ψήφους</w:t>
      </w:r>
      <w:r>
        <w:rPr>
          <w:rFonts w:ascii="Arial" w:hAnsi="Arial" w:cs="Arial"/>
          <w:sz w:val="24"/>
          <w:szCs w:val="24"/>
          <w:lang w:val="el-GR"/>
        </w:rPr>
        <w:t xml:space="preserve"> κατά</w:t>
      </w:r>
      <w:r w:rsidRPr="00085408">
        <w:rPr>
          <w:rFonts w:ascii="Arial" w:hAnsi="Arial" w:cs="Arial"/>
          <w:sz w:val="24"/>
          <w:szCs w:val="24"/>
          <w:lang w:val="el-GR"/>
        </w:rPr>
        <w:t xml:space="preserve"> και με 4 αποχές να μην προσθέσ</w:t>
      </w:r>
      <w:r>
        <w:rPr>
          <w:rFonts w:ascii="Arial" w:hAnsi="Arial" w:cs="Arial"/>
          <w:sz w:val="24"/>
          <w:szCs w:val="24"/>
          <w:lang w:val="el-GR"/>
        </w:rPr>
        <w:t>ει</w:t>
      </w:r>
      <w:r w:rsidRPr="0008540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την </w:t>
      </w:r>
      <w:r w:rsidRPr="00085408">
        <w:rPr>
          <w:rFonts w:ascii="Arial" w:hAnsi="Arial" w:cs="Arial"/>
          <w:sz w:val="24"/>
          <w:szCs w:val="24"/>
          <w:lang w:val="el-GR"/>
        </w:rPr>
        <w:t>υποσημείωση.</w:t>
      </w:r>
    </w:p>
    <w:p w14:paraId="179A84E9" w14:textId="7675ECF2" w:rsidR="00D94AD2" w:rsidRPr="00D94AD2" w:rsidRDefault="00D94AD2" w:rsidP="00D94AD2">
      <w:pPr>
        <w:jc w:val="both"/>
        <w:rPr>
          <w:rFonts w:ascii="Arial" w:hAnsi="Arial" w:cs="Arial"/>
          <w:sz w:val="24"/>
          <w:szCs w:val="24"/>
          <w:lang w:val="el-GR"/>
        </w:rPr>
      </w:pPr>
      <w:r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(5) Σύσταση του ΠΟΥ για την προσθήκη ορισμένων παρασκευασμάτων </w:t>
      </w:r>
      <w:proofErr w:type="spellStart"/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>δροναβινόλης</w:t>
      </w:r>
      <w:proofErr w:type="spellEnd"/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BA2E2D">
        <w:rPr>
          <w:rFonts w:ascii="Arial" w:hAnsi="Arial" w:cs="Arial"/>
          <w:b/>
          <w:bCs/>
          <w:sz w:val="24"/>
          <w:szCs w:val="24"/>
          <w:lang w:val="el-GR"/>
        </w:rPr>
        <w:t>στο</w:t>
      </w:r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>ν</w:t>
      </w:r>
      <w:r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Πίνακα </w:t>
      </w:r>
      <w:r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III </w:t>
      </w:r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της </w:t>
      </w:r>
      <w:r w:rsidR="00BA2E2D" w:rsidRPr="00D94AD2">
        <w:rPr>
          <w:rFonts w:ascii="Arial" w:hAnsi="Arial" w:cs="Arial"/>
          <w:b/>
          <w:bCs/>
          <w:sz w:val="24"/>
          <w:szCs w:val="24"/>
          <w:lang w:val="el-GR"/>
        </w:rPr>
        <w:t>Σύμβαση</w:t>
      </w:r>
      <w:r w:rsidR="00BA2E2D" w:rsidRPr="00BA2E2D">
        <w:rPr>
          <w:rFonts w:ascii="Arial" w:hAnsi="Arial" w:cs="Arial"/>
          <w:b/>
          <w:bCs/>
          <w:sz w:val="24"/>
          <w:szCs w:val="24"/>
          <w:lang w:val="el-GR"/>
        </w:rPr>
        <w:t xml:space="preserve">ς </w:t>
      </w:r>
      <w:r w:rsidRPr="00BA2E2D">
        <w:rPr>
          <w:rFonts w:ascii="Arial" w:hAnsi="Arial" w:cs="Arial"/>
          <w:b/>
          <w:bCs/>
          <w:sz w:val="24"/>
          <w:szCs w:val="24"/>
          <w:lang w:val="el-GR"/>
        </w:rPr>
        <w:t>του 1961</w:t>
      </w:r>
      <w:r w:rsidRPr="00D94AD2">
        <w:rPr>
          <w:rFonts w:ascii="Arial" w:hAnsi="Arial" w:cs="Arial"/>
          <w:b/>
          <w:bCs/>
          <w:sz w:val="24"/>
          <w:szCs w:val="24"/>
          <w:lang w:val="el-GR"/>
        </w:rPr>
        <w:t>:</w:t>
      </w:r>
      <w:r w:rsidRPr="00D94AD2">
        <w:rPr>
          <w:rFonts w:ascii="Arial" w:hAnsi="Arial" w:cs="Arial"/>
          <w:sz w:val="24"/>
          <w:szCs w:val="24"/>
          <w:lang w:val="el-GR"/>
        </w:rPr>
        <w:t xml:space="preserve"> Όπως είχε προκαθορίσει η Επιτροπή σε διαδικαστική απόφαση, η οποία εκδόθηκε στην αρχή </w:t>
      </w:r>
      <w:r w:rsidR="00BA2E2D">
        <w:rPr>
          <w:rFonts w:ascii="Arial" w:hAnsi="Arial" w:cs="Arial"/>
          <w:sz w:val="24"/>
          <w:szCs w:val="24"/>
          <w:lang w:val="el-GR"/>
        </w:rPr>
        <w:t xml:space="preserve">της </w:t>
      </w:r>
      <w:r w:rsidRPr="00D94AD2">
        <w:rPr>
          <w:rFonts w:ascii="Arial" w:hAnsi="Arial" w:cs="Arial"/>
          <w:sz w:val="24"/>
          <w:szCs w:val="24"/>
          <w:lang w:val="el-GR"/>
        </w:rPr>
        <w:t>συνάντηση</w:t>
      </w:r>
      <w:r w:rsidR="00BA2E2D">
        <w:rPr>
          <w:rFonts w:ascii="Arial" w:hAnsi="Arial" w:cs="Arial"/>
          <w:sz w:val="24"/>
          <w:szCs w:val="24"/>
          <w:lang w:val="el-GR"/>
        </w:rPr>
        <w:t>ς</w:t>
      </w:r>
      <w:r w:rsidRPr="00D94AD2">
        <w:rPr>
          <w:rFonts w:ascii="Arial" w:hAnsi="Arial" w:cs="Arial"/>
          <w:sz w:val="24"/>
          <w:szCs w:val="24"/>
          <w:lang w:val="el-GR"/>
        </w:rPr>
        <w:t>, αυτή η σύσταση κρίθηκε απορριπτέα, λόγω της απόρριψης της σύστασης προς προσθήκη</w:t>
      </w:r>
      <w:r w:rsidR="00BA2E2D">
        <w:rPr>
          <w:rFonts w:ascii="Arial" w:hAnsi="Arial" w:cs="Arial"/>
          <w:sz w:val="24"/>
          <w:szCs w:val="24"/>
          <w:lang w:val="el-GR"/>
        </w:rPr>
        <w:t xml:space="preserve"> της </w:t>
      </w:r>
      <w:proofErr w:type="spellStart"/>
      <w:r w:rsidR="00BA2E2D">
        <w:rPr>
          <w:rFonts w:ascii="Arial" w:hAnsi="Arial" w:cs="Arial"/>
          <w:sz w:val="24"/>
          <w:szCs w:val="24"/>
          <w:lang w:val="el-GR"/>
        </w:rPr>
        <w:t>δροναβινόλης</w:t>
      </w:r>
      <w:proofErr w:type="spellEnd"/>
      <w:r w:rsidR="00BA2E2D">
        <w:rPr>
          <w:rFonts w:ascii="Arial" w:hAnsi="Arial" w:cs="Arial"/>
          <w:sz w:val="24"/>
          <w:szCs w:val="24"/>
          <w:lang w:val="el-GR"/>
        </w:rPr>
        <w:t xml:space="preserve"> </w:t>
      </w:r>
      <w:r w:rsidRPr="00D94AD2">
        <w:rPr>
          <w:rFonts w:ascii="Arial" w:hAnsi="Arial" w:cs="Arial"/>
          <w:sz w:val="24"/>
          <w:szCs w:val="24"/>
          <w:lang w:val="el-GR"/>
        </w:rPr>
        <w:t>και τ</w:t>
      </w:r>
      <w:r w:rsidR="00BA2E2D">
        <w:rPr>
          <w:rFonts w:ascii="Arial" w:hAnsi="Arial" w:cs="Arial"/>
          <w:sz w:val="24"/>
          <w:szCs w:val="24"/>
          <w:lang w:val="el-GR"/>
        </w:rPr>
        <w:t>ων</w:t>
      </w:r>
      <w:r w:rsidRPr="00D94AD2">
        <w:rPr>
          <w:rFonts w:ascii="Arial" w:hAnsi="Arial" w:cs="Arial"/>
          <w:sz w:val="24"/>
          <w:szCs w:val="24"/>
          <w:lang w:val="el-GR"/>
        </w:rPr>
        <w:t xml:space="preserve"> στερεοϊσομερ</w:t>
      </w:r>
      <w:r w:rsidR="00BA2E2D">
        <w:rPr>
          <w:rFonts w:ascii="Arial" w:hAnsi="Arial" w:cs="Arial"/>
          <w:sz w:val="24"/>
          <w:szCs w:val="24"/>
          <w:lang w:val="el-GR"/>
        </w:rPr>
        <w:t>ών</w:t>
      </w:r>
      <w:r w:rsidRPr="00D94AD2">
        <w:rPr>
          <w:rFonts w:ascii="Arial" w:hAnsi="Arial" w:cs="Arial"/>
          <w:sz w:val="24"/>
          <w:szCs w:val="24"/>
          <w:lang w:val="el-GR"/>
        </w:rPr>
        <w:t xml:space="preserve"> τ</w:t>
      </w:r>
      <w:r w:rsidR="00BA2E2D">
        <w:rPr>
          <w:rFonts w:ascii="Arial" w:hAnsi="Arial" w:cs="Arial"/>
          <w:sz w:val="24"/>
          <w:szCs w:val="24"/>
          <w:lang w:val="el-GR"/>
        </w:rPr>
        <w:t>ης</w:t>
      </w:r>
      <w:r w:rsidRPr="00D94AD2">
        <w:rPr>
          <w:rFonts w:ascii="Arial" w:hAnsi="Arial" w:cs="Arial"/>
          <w:sz w:val="24"/>
          <w:szCs w:val="24"/>
          <w:lang w:val="el-GR"/>
        </w:rPr>
        <w:t xml:space="preserve"> (δέλτα-9-τετραϋδροκανναβινόλη) στον </w:t>
      </w:r>
      <w:r w:rsidR="00BA2E2D">
        <w:rPr>
          <w:rFonts w:ascii="Arial" w:hAnsi="Arial" w:cs="Arial"/>
          <w:sz w:val="24"/>
          <w:szCs w:val="24"/>
          <w:lang w:val="el-GR"/>
        </w:rPr>
        <w:t>Π</w:t>
      </w:r>
      <w:r w:rsidRPr="00D94AD2">
        <w:rPr>
          <w:rFonts w:ascii="Arial" w:hAnsi="Arial" w:cs="Arial"/>
          <w:sz w:val="24"/>
          <w:szCs w:val="24"/>
          <w:lang w:val="el-GR"/>
        </w:rPr>
        <w:t xml:space="preserve">ίνακα Ι της </w:t>
      </w:r>
      <w:r w:rsidR="00BA2E2D">
        <w:rPr>
          <w:rFonts w:ascii="Arial" w:hAnsi="Arial" w:cs="Arial"/>
          <w:sz w:val="24"/>
          <w:szCs w:val="24"/>
          <w:lang w:val="el-GR"/>
        </w:rPr>
        <w:t>Σ</w:t>
      </w:r>
      <w:r w:rsidRPr="00D94AD2">
        <w:rPr>
          <w:rFonts w:ascii="Arial" w:hAnsi="Arial" w:cs="Arial"/>
          <w:sz w:val="24"/>
          <w:szCs w:val="24"/>
          <w:lang w:val="el-GR"/>
        </w:rPr>
        <w:t>ύμβασης του 1961.</w:t>
      </w:r>
    </w:p>
    <w:p w14:paraId="4A4EDFAC" w14:textId="396AD4CD" w:rsidR="00D94AE9" w:rsidRPr="00D94AE9" w:rsidRDefault="00D94AE9" w:rsidP="00D94AE9">
      <w:pPr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ψ</w:t>
      </w:r>
      <w:r>
        <w:rPr>
          <w:rFonts w:ascii="Arial" w:hAnsi="Arial" w:cs="Arial"/>
          <w:sz w:val="24"/>
          <w:szCs w:val="24"/>
          <w:lang w:val="el-GR"/>
        </w:rPr>
        <w:t>ήφιση της σύστασης του ΠΟΥ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αποτελεί ορόσημο για την αναγνώριση και τη μελλοντική διαχείριση των ιατρικών ιδιοτήτων της κάνναβης</w:t>
      </w:r>
      <w:r>
        <w:rPr>
          <w:rFonts w:ascii="Arial" w:hAnsi="Arial" w:cs="Arial"/>
          <w:sz w:val="24"/>
          <w:szCs w:val="24"/>
          <w:lang w:val="el-GR"/>
        </w:rPr>
        <w:t>, αλλά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και της ενδεχόμενης αξίας της </w:t>
      </w:r>
      <w:r>
        <w:rPr>
          <w:rFonts w:ascii="Arial" w:hAnsi="Arial" w:cs="Arial"/>
          <w:sz w:val="24"/>
          <w:szCs w:val="24"/>
          <w:lang w:val="el-GR"/>
        </w:rPr>
        <w:t>στα πλαίσια της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επιστημονική</w:t>
      </w:r>
      <w:r>
        <w:rPr>
          <w:rFonts w:ascii="Arial" w:hAnsi="Arial" w:cs="Arial"/>
          <w:sz w:val="24"/>
          <w:szCs w:val="24"/>
          <w:lang w:val="el-GR"/>
        </w:rPr>
        <w:t>ς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έρευνα</w:t>
      </w:r>
      <w:r>
        <w:rPr>
          <w:rFonts w:ascii="Arial" w:hAnsi="Arial" w:cs="Arial"/>
          <w:sz w:val="24"/>
          <w:szCs w:val="24"/>
          <w:lang w:val="el-GR"/>
        </w:rPr>
        <w:t>ς. Η Επιτροπή παράλληλα τόνισε ότι η μετακίνηση της ουσίας από τον Πίνακα Ι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στον Πίνακα Ι της Σύμβασης του 1961, κατ’ ουδένα λόγο δεν σημαίνει</w:t>
      </w:r>
      <w:r w:rsidRPr="00D94AE9">
        <w:rPr>
          <w:rFonts w:ascii="Arial" w:hAnsi="Arial" w:cs="Arial"/>
          <w:sz w:val="24"/>
          <w:szCs w:val="24"/>
          <w:lang w:val="el-GR"/>
        </w:rPr>
        <w:t xml:space="preserve"> χαλάρωση στα </w:t>
      </w:r>
      <w:r>
        <w:rPr>
          <w:rFonts w:ascii="Arial" w:hAnsi="Arial" w:cs="Arial"/>
          <w:sz w:val="24"/>
          <w:szCs w:val="24"/>
          <w:lang w:val="el-GR"/>
        </w:rPr>
        <w:t xml:space="preserve">διεθνή </w:t>
      </w:r>
      <w:r w:rsidRPr="00D94AE9">
        <w:rPr>
          <w:rFonts w:ascii="Arial" w:hAnsi="Arial" w:cs="Arial"/>
          <w:sz w:val="24"/>
          <w:szCs w:val="24"/>
          <w:lang w:val="el-GR"/>
        </w:rPr>
        <w:t>μέτρα ελέγχου της κάνναβης</w:t>
      </w:r>
      <w:r>
        <w:rPr>
          <w:rFonts w:ascii="Arial" w:hAnsi="Arial" w:cs="Arial"/>
          <w:sz w:val="24"/>
          <w:szCs w:val="24"/>
          <w:lang w:val="el-GR"/>
        </w:rPr>
        <w:t xml:space="preserve">, ούτε μειώνει τους κινδύνους που ενέχει ως </w:t>
      </w:r>
      <w:r w:rsidRPr="00D94AE9">
        <w:rPr>
          <w:rFonts w:ascii="Arial" w:hAnsi="Arial" w:cs="Arial"/>
          <w:sz w:val="24"/>
          <w:szCs w:val="24"/>
          <w:lang w:val="el-GR"/>
        </w:rPr>
        <w:t>ουσία</w:t>
      </w:r>
      <w:r>
        <w:rPr>
          <w:rFonts w:ascii="Arial" w:hAnsi="Arial" w:cs="Arial"/>
          <w:sz w:val="24"/>
          <w:szCs w:val="24"/>
          <w:lang w:val="el-GR"/>
        </w:rPr>
        <w:t xml:space="preserve"> εξάρτησης.</w:t>
      </w:r>
    </w:p>
    <w:p w14:paraId="7BB5145F" w14:textId="1DE98D41" w:rsidR="00085408" w:rsidRPr="00085408" w:rsidRDefault="00085408" w:rsidP="00085408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1D32204C" w14:textId="153AE590" w:rsidR="00880D39" w:rsidRPr="00880D39" w:rsidRDefault="00880D39" w:rsidP="00880D39">
      <w:pPr>
        <w:jc w:val="both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AA4DBF5" w14:textId="270DBDD5" w:rsidR="00880D39" w:rsidRPr="00880D39" w:rsidRDefault="00880D39" w:rsidP="00880D39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6B44C35F" w14:textId="77777777" w:rsidR="00880D39" w:rsidRPr="00880D39" w:rsidRDefault="00880D39" w:rsidP="00880D39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26989AA7" w14:textId="77777777" w:rsidR="00880D39" w:rsidRPr="00C82A5E" w:rsidRDefault="00880D39" w:rsidP="00C82A5E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3E1C26F7" w14:textId="77777777" w:rsidR="00B95EA7" w:rsidRPr="00880D39" w:rsidRDefault="00B95EA7">
      <w:pPr>
        <w:rPr>
          <w:rFonts w:ascii="Arial" w:hAnsi="Arial" w:cs="Arial"/>
          <w:sz w:val="24"/>
          <w:szCs w:val="24"/>
          <w:lang w:val="el-GR"/>
        </w:rPr>
      </w:pPr>
    </w:p>
    <w:sectPr w:rsidR="00B95EA7" w:rsidRPr="00880D3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E"/>
    <w:rsid w:val="00042A19"/>
    <w:rsid w:val="00085408"/>
    <w:rsid w:val="0048527C"/>
    <w:rsid w:val="005F1DA7"/>
    <w:rsid w:val="00880D39"/>
    <w:rsid w:val="00B95EA7"/>
    <w:rsid w:val="00BA2E2D"/>
    <w:rsid w:val="00C82A5E"/>
    <w:rsid w:val="00D94AD2"/>
    <w:rsid w:val="00D94AE9"/>
    <w:rsid w:val="00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B5AA"/>
  <w15:chartTrackingRefBased/>
  <w15:docId w15:val="{C5995B71-742F-4C84-895A-DCA8AEF6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D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D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Kyprianou</dc:creator>
  <cp:keywords/>
  <dc:description/>
  <cp:lastModifiedBy>Elena Demosthenous</cp:lastModifiedBy>
  <cp:revision>2</cp:revision>
  <dcterms:created xsi:type="dcterms:W3CDTF">2020-12-11T08:51:00Z</dcterms:created>
  <dcterms:modified xsi:type="dcterms:W3CDTF">2020-12-11T08:51:00Z</dcterms:modified>
</cp:coreProperties>
</file>